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A9A1F" w14:textId="77777777" w:rsidR="002E2887" w:rsidRPr="00113004" w:rsidRDefault="002E2887" w:rsidP="002E2887">
      <w:pPr>
        <w:spacing w:line="48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13004">
        <w:rPr>
          <w:rFonts w:ascii="Arial" w:hAnsi="Arial" w:cs="Arial"/>
          <w:sz w:val="24"/>
          <w:szCs w:val="24"/>
        </w:rPr>
        <w:t xml:space="preserve">Table 1. </w:t>
      </w:r>
      <w:r w:rsidRPr="00113004">
        <w:rPr>
          <w:rFonts w:ascii="Arial" w:hAnsi="Arial" w:cs="Arial"/>
          <w:color w:val="000000" w:themeColor="text1"/>
          <w:sz w:val="24"/>
          <w:szCs w:val="24"/>
        </w:rPr>
        <w:t>Baseline characteristics in patients by stratified by sex-specific quintiles of ALT levels</w:t>
      </w:r>
      <w:r w:rsidRPr="00113004">
        <w:rPr>
          <w:rFonts w:ascii="Arial" w:hAnsi="Arial" w:cs="Arial"/>
          <w:color w:val="2F312F"/>
          <w:sz w:val="24"/>
          <w:szCs w:val="24"/>
          <w:shd w:val="clear" w:color="auto" w:fill="FFFFFF"/>
          <w:vertAlign w:val="superscript"/>
        </w:rPr>
        <w:t>†</w:t>
      </w:r>
      <w:r w:rsidRPr="00113004">
        <w:rPr>
          <w:rFonts w:ascii="Arial" w:hAnsi="Arial" w:cs="Arial"/>
          <w:color w:val="000000" w:themeColor="text1"/>
          <w:sz w:val="24"/>
          <w:szCs w:val="24"/>
        </w:rPr>
        <w:t>.</w:t>
      </w:r>
    </w:p>
    <w:tbl>
      <w:tblPr>
        <w:tblW w:w="14601" w:type="dxa"/>
        <w:jc w:val="center"/>
        <w:tblLook w:val="04A0" w:firstRow="1" w:lastRow="0" w:firstColumn="1" w:lastColumn="0" w:noHBand="0" w:noVBand="1"/>
      </w:tblPr>
      <w:tblGrid>
        <w:gridCol w:w="3106"/>
        <w:gridCol w:w="1738"/>
        <w:gridCol w:w="1740"/>
        <w:gridCol w:w="1740"/>
        <w:gridCol w:w="1740"/>
        <w:gridCol w:w="1740"/>
        <w:gridCol w:w="1740"/>
        <w:gridCol w:w="1057"/>
      </w:tblGrid>
      <w:tr w:rsidR="002E2887" w:rsidRPr="00654D5D" w14:paraId="0C61E406" w14:textId="77777777" w:rsidTr="00F318B8">
        <w:trPr>
          <w:trHeight w:val="340"/>
          <w:jc w:val="center"/>
        </w:trPr>
        <w:tc>
          <w:tcPr>
            <w:tcW w:w="3106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E078C6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  <w:r w:rsidRPr="00654D5D"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1738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2A1150B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Overall</w:t>
            </w:r>
          </w:p>
          <w:p w14:paraId="18B11C7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(n=17178)</w:t>
            </w:r>
          </w:p>
        </w:tc>
        <w:tc>
          <w:tcPr>
            <w:tcW w:w="8700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9ECAE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ALT quintiles</w:t>
            </w:r>
            <w:r w:rsidRPr="00654D5D">
              <w:rPr>
                <w:rFonts w:ascii="Arial" w:hAnsi="Arial" w:cs="Arial"/>
                <w:color w:val="2F312F"/>
                <w:sz w:val="24"/>
                <w:szCs w:val="24"/>
                <w:shd w:val="clear" w:color="auto" w:fill="FFFFFF"/>
                <w:vertAlign w:val="superscript"/>
              </w:rPr>
              <w:t>†</w:t>
            </w: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, U/L</w:t>
            </w:r>
          </w:p>
        </w:tc>
        <w:tc>
          <w:tcPr>
            <w:tcW w:w="1057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FDB553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2E2887" w:rsidRPr="00654D5D" w14:paraId="25BA517D" w14:textId="77777777" w:rsidTr="00F318B8">
        <w:trPr>
          <w:trHeight w:val="710"/>
          <w:jc w:val="center"/>
        </w:trPr>
        <w:tc>
          <w:tcPr>
            <w:tcW w:w="3106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2756C02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38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DBD5A8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447943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Q1</w:t>
            </w:r>
          </w:p>
          <w:p w14:paraId="390CBB6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(n=3339)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87EEAB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Q2</w:t>
            </w:r>
          </w:p>
          <w:p w14:paraId="7800199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(n=3219)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6E2BA4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Q3</w:t>
            </w:r>
          </w:p>
          <w:p w14:paraId="331027F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(n=3455)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DD99B6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Q4</w:t>
            </w:r>
          </w:p>
          <w:p w14:paraId="702B772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(n=3572)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E8666C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Q5</w:t>
            </w:r>
          </w:p>
          <w:p w14:paraId="1522FF0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(n=3593)</w:t>
            </w:r>
          </w:p>
        </w:tc>
        <w:tc>
          <w:tcPr>
            <w:tcW w:w="1057" w:type="dxa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A9E4B4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E2887" w:rsidRPr="00654D5D" w14:paraId="6B5A359B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4DD88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Age (SD), year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A24B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64.8 (11.9)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E2B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69.2 (11.5)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C37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66.2 (11.5)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AA2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64.7 (11.6)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FA1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63.5 (11.3)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74D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60.9 (12.0)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206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26E89F4C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776D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Female, n (%)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EA5B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6368 (37.1)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7875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1270 (38.0)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DA5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1110 (34.5)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6AD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1245 (36.0)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74A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1441 (40.3)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18B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1302 (36.2)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DE0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01CDDFB8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3E2C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Risk factors, n (%)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FC0A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F0178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8059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CAB55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5BE6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6968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90DA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</w:tr>
      <w:tr w:rsidR="002E2887" w:rsidRPr="00654D5D" w14:paraId="281F5208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C48B8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Previous stroke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A18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6169 (35.9)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702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1267 (37.9)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B0E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1157 (35.9)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6A2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1230 (35.6)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24EB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1269 (35.5)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164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1246 (34.7)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540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0.07</w:t>
            </w:r>
          </w:p>
        </w:tc>
      </w:tr>
      <w:tr w:rsidR="002E2887" w:rsidRPr="00654D5D" w14:paraId="144AE02C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ACD4E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Hypertension 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FF5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12936 (75.3)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0D9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2509 (75.1)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2BC8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2411 (74.9)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792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2578 (74.6)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199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2667 (74.7)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9D6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2771 (77.1)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9FC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0.08</w:t>
            </w:r>
          </w:p>
        </w:tc>
      </w:tr>
      <w:tr w:rsidR="002E2887" w:rsidRPr="00654D5D" w14:paraId="50B5CD32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6B3C8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Diabetes 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BB13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4341 (25.3)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9346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757 (22.7)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B8B6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765 (23.8)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025F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892 (25.8)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E5BD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915 (25.6)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6F7E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1012 (28.2)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1A28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2AF919D9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DC610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Dyslipidemia 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37E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5764 (33.6)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FF9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994 (29.8)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5B18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979 (30.4)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639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1202 (34.8)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505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1219 (34.1)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64E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1370 (38.1)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2A4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0F2E2366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15FD1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Atrial fibrillation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A16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1173 (6.8)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BDE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254 (7.6)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D83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205 (6.4)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015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246 (7.1)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192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239 (6.7)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EAD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229 (6.4)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91D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0.2</w:t>
            </w:r>
          </w:p>
        </w:tc>
      </w:tr>
      <w:tr w:rsidR="002E2887" w:rsidRPr="00654D5D" w14:paraId="55DDD60B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0A810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CHD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6DD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2339 (13.6)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A17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503 (15.1)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EE1B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447 (13.9)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4B2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480 (13.9)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5D6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489 (13.7)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104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420 (11.7)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C93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&lt;0.01</w:t>
            </w:r>
          </w:p>
        </w:tc>
      </w:tr>
      <w:tr w:rsidR="002E2887" w:rsidRPr="00654D5D" w14:paraId="43268E81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93645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lastRenderedPageBreak/>
              <w:t>Current or previous smoking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B97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7483 (43.6)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50F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1435 (43.0)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FC4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1468 (45.6)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EC2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1507 (43.6)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F69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1490 (41.7)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228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1583 (44.1)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10B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0.02</w:t>
            </w:r>
          </w:p>
        </w:tc>
      </w:tr>
      <w:tr w:rsidR="002E2887" w:rsidRPr="00654D5D" w14:paraId="3DC3B5AE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5CA06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Moderate to heavy alcohol, n (%) 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15E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4753 (27.7)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407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859 (25.7)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F182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901 (28.0)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0CD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931 (26.9)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CE2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989 (27.7)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8888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1073 (29.9)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A57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&lt;0.01</w:t>
            </w:r>
          </w:p>
        </w:tc>
      </w:tr>
      <w:tr w:rsidR="002E2887" w:rsidRPr="00654D5D" w14:paraId="4D897ADC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DA51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AST, U/L, median (IQR)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09E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21.0 (17.0-27.0)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2B3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16.0 (14.0-19.8)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318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18.0 (15.0-21.0)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AE0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20.0 (17.0-24.0)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4645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23.0 (19.0-27.0)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84FB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30.5 (24.0-40.0)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68B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7CFB0978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B2FF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TG, mg/dL, median (IQR)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4C6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118.6 (85.8-172.6)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042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105.3 (76.1-142.5)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577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112.4 (80.5-154.9)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171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118.6 (86.7-170.8)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BE28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125.7 (91.2-185.8)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B95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139.8 (99.1-203.5)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B412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6DB5BA36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7461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LDL-C, mg/dL, median (IQR)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BAC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105.8 (85.3-127.4)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270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104.3 (83.4-125.5)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F1C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105.4 (85.3-125.1)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A4D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105.8 (86.5-128.2)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FEF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106.0 (86.1-129.0)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ECF2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106.2 (85.7-129.7)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E7F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3399F8FB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599A2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HDL-C, mg/dL, median (IQR)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CAF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44.2 (37.2-52.7)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745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44.6 (37.2-53.1)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3AA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44.2 (38.0-53.1)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73B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44.2 (37.6-52.7)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D7F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44.2 (37.2-52.3)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0A7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43.8 (36.8-51.6)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A5B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0.09</w:t>
            </w:r>
          </w:p>
        </w:tc>
      </w:tr>
      <w:tr w:rsidR="002E2887" w:rsidRPr="00654D5D" w14:paraId="0A63F479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1821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lastRenderedPageBreak/>
              <w:t>FBG, mmol/L, median (IQR)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613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5.5 (4.8-6.7)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B78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5.3 (4.7-6.4)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83A5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5.3 (4.8-6.5)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F1C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5.4 (4.8-6.6)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8EB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5.6 (4.9-6.8)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051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5.7 (5.0-7.2)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FE3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3818B487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688D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WBC, 10</w:t>
            </w: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/L, median (IQR)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8E5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6.7 (5.5-8.3)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0D8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6.6 (5.4-8.1)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DC8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6.6 (5.5-8.1)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697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6.7 (5.5-8.3)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7B5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6.8 (5.6-8.4)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678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6.9 (5.7-8.5)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94F8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121A1786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26EF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BMI, kg/m</w:t>
            </w: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, median (IQR)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D8D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24.0 (22.0-25.7)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B6C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23.4 (21.3-24.9)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CD5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23.7 (21.8-25.4)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C07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23.9 (22.0-25.7)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A05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24.2 (22.5-26.1)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1C05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24.2 (22.6-26.4)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D3A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2C190199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51F6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NIHSS at admission, median (IQR)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CDAB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(1-6)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00C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 (1-6)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815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(1-6)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E9C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(1-7)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399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(1-6)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BFA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 (1-6)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78E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0.12</w:t>
            </w:r>
          </w:p>
        </w:tc>
      </w:tr>
      <w:tr w:rsidR="002E2887" w:rsidRPr="00654D5D" w14:paraId="00000C26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F0FB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mRS at discharge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BB89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5B7D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AD9B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04D0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7DAD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22C2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150F7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</w:tr>
      <w:tr w:rsidR="002E2887" w:rsidRPr="00654D5D" w14:paraId="3D580111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ECA33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0-2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C97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13320 (78.4)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BD2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2486 (75.3)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725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2502 (78.6)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44B4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2697 (78.8)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83D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2820 (79.7)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868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2815 (79.6)</w:t>
            </w:r>
          </w:p>
        </w:tc>
        <w:tc>
          <w:tcPr>
            <w:tcW w:w="105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A4B8F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5BAC87B3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DCB41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3-5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73E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3660 (21.6)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1EF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814 (24.7)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A0F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681 (21.4)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AB8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726 (21.2)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2F6B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717 (20.3)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E4A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722 (20.4)</w:t>
            </w:r>
          </w:p>
        </w:tc>
        <w:tc>
          <w:tcPr>
            <w:tcW w:w="1057" w:type="dxa"/>
            <w:vMerge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14:paraId="679BB64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</w:p>
        </w:tc>
      </w:tr>
      <w:tr w:rsidR="002E2887" w:rsidRPr="00654D5D" w14:paraId="419BB9B4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EC9E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Medication during hospitalization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5522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D7FD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DC3F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33CB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BE5B5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82C5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8F7EB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Times New Roman" w:hAnsi="Arial" w:cs="Arial"/>
                <w:kern w:val="0"/>
                <w:sz w:val="24"/>
                <w:szCs w:val="24"/>
              </w:rPr>
            </w:pPr>
          </w:p>
        </w:tc>
      </w:tr>
      <w:tr w:rsidR="002E2887" w:rsidRPr="00654D5D" w14:paraId="1430D19F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0053C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Antihypertensive drugs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964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8352 (48.6)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0691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1585 (47.5)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F4A5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1571 (48.8)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1D1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1681 (48.7)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735F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1743 (48.8)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BFD5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1772 (49.3)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0A5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0.63</w:t>
            </w:r>
          </w:p>
        </w:tc>
      </w:tr>
      <w:tr w:rsidR="002E2887" w:rsidRPr="00654D5D" w14:paraId="7EE9D8C2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66E78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lastRenderedPageBreak/>
              <w:t>Hypoglycemia drug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C3C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3386 (19.7)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003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578 (17.3)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092D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609 (18.9)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F81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675 (19.5)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3DD5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714 (20.0)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E60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810 (22.5)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5A1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1167C725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2D7C97" w14:textId="77777777" w:rsidR="002E2887" w:rsidRPr="00654D5D" w:rsidRDefault="002E2887" w:rsidP="00F318B8">
            <w:pPr>
              <w:widowControl/>
              <w:spacing w:line="480" w:lineRule="auto"/>
              <w:ind w:firstLineChars="100" w:firstLine="240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Lipid-lowering drugs</w:t>
            </w:r>
          </w:p>
        </w:tc>
        <w:tc>
          <w:tcPr>
            <w:tcW w:w="1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9F46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8843 (51.5)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01FE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1561 (46.8)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44A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1604 (49.8)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197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1812 (52.4)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2554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1926 (53.9)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5D058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1940 (54.0)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AF17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  <w:tr w:rsidR="002E2887" w:rsidRPr="00654D5D" w14:paraId="77BD937D" w14:textId="77777777" w:rsidTr="00F318B8">
        <w:trPr>
          <w:trHeight w:val="340"/>
          <w:jc w:val="center"/>
        </w:trPr>
        <w:tc>
          <w:tcPr>
            <w:tcW w:w="31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54F9C5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Pneumonia during hospitalization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DEE3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1203 (7.0)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9167C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304 (9.1)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0971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221 (6.9)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06979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226 (6.5)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B424A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218 (6.1)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AF570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234 (6.5)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69A63" w14:textId="77777777" w:rsidR="002E2887" w:rsidRPr="00654D5D" w:rsidRDefault="002E2887" w:rsidP="00F318B8">
            <w:pPr>
              <w:widowControl/>
              <w:spacing w:line="480" w:lineRule="auto"/>
              <w:rPr>
                <w:rFonts w:ascii="Arial" w:eastAsia="等线" w:hAnsi="Arial" w:cs="Arial"/>
                <w:kern w:val="0"/>
                <w:sz w:val="24"/>
                <w:szCs w:val="24"/>
              </w:rPr>
            </w:pPr>
            <w:r w:rsidRPr="00654D5D">
              <w:rPr>
                <w:rFonts w:ascii="Arial" w:eastAsia="等线" w:hAnsi="Arial" w:cs="Arial"/>
                <w:kern w:val="0"/>
                <w:sz w:val="24"/>
                <w:szCs w:val="24"/>
              </w:rPr>
              <w:t>&lt;0.001</w:t>
            </w:r>
          </w:p>
        </w:tc>
      </w:tr>
    </w:tbl>
    <w:p w14:paraId="3ED02636" w14:textId="77777777" w:rsidR="002E2887" w:rsidRPr="00113004" w:rsidRDefault="002E2887" w:rsidP="002E2887">
      <w:pPr>
        <w:spacing w:line="480" w:lineRule="auto"/>
        <w:rPr>
          <w:rFonts w:ascii="Arial" w:hAnsi="Arial" w:cs="Arial"/>
          <w:sz w:val="24"/>
          <w:szCs w:val="24"/>
        </w:rPr>
      </w:pPr>
      <w:r w:rsidRPr="00113004">
        <w:rPr>
          <w:rFonts w:ascii="Arial" w:hAnsi="Arial" w:cs="Arial"/>
          <w:sz w:val="24"/>
          <w:szCs w:val="24"/>
        </w:rPr>
        <w:t xml:space="preserve">ALT, alanine aminotransferase; AST, aspartate aminotransferase; TG, triglyceride; LDL-C, low density lipoprotein cholesterol; HDL-C, high density lipoprotein cholesterol; FBG, fasting blood-glucose; WBC, white blood cells; CHD, coronary heart disease; BMI, body mass index; NIHSS, national institutes of health stroke scale; mRS, modified Rankin score; SD, standard deviation; IQR, interquartile range; Q, quintile. </w:t>
      </w:r>
      <w:r w:rsidRPr="00113004">
        <w:rPr>
          <w:rFonts w:ascii="Arial" w:hAnsi="Arial" w:cs="Arial"/>
          <w:color w:val="2F312F"/>
          <w:sz w:val="24"/>
          <w:szCs w:val="24"/>
          <w:shd w:val="clear" w:color="auto" w:fill="FFFFFF"/>
          <w:vertAlign w:val="superscript"/>
        </w:rPr>
        <w:t>†</w:t>
      </w:r>
      <w:r w:rsidRPr="00113004">
        <w:rPr>
          <w:rFonts w:ascii="Arial" w:hAnsi="Arial" w:cs="Arial"/>
          <w:color w:val="000000" w:themeColor="text1"/>
          <w:sz w:val="24"/>
          <w:szCs w:val="24"/>
        </w:rPr>
        <w:t xml:space="preserve">sex-specific cut-points for ALT per quintile are &lt;13[men], &lt;12[women] for Q1; 13-17[men], 12-15[women] for Q2; 17-22[men], 15-19[women] for Q3; 22-30[men], 19-27[women] for Q4; </w:t>
      </w:r>
      <w:r w:rsidRPr="00113004">
        <w:rPr>
          <w:rFonts w:ascii="Arial" w:hAnsi="Arial" w:cs="Arial"/>
          <w:color w:val="000000"/>
          <w:sz w:val="24"/>
          <w:szCs w:val="24"/>
        </w:rPr>
        <w:t>≥</w:t>
      </w:r>
      <w:r w:rsidRPr="00113004">
        <w:rPr>
          <w:rFonts w:ascii="Arial" w:hAnsi="Arial" w:cs="Arial"/>
          <w:color w:val="000000" w:themeColor="text1"/>
          <w:sz w:val="24"/>
          <w:szCs w:val="24"/>
        </w:rPr>
        <w:t xml:space="preserve">30[men], </w:t>
      </w:r>
      <w:r w:rsidRPr="00113004">
        <w:rPr>
          <w:rFonts w:ascii="Arial" w:hAnsi="Arial" w:cs="Arial"/>
          <w:color w:val="000000"/>
          <w:sz w:val="24"/>
          <w:szCs w:val="24"/>
        </w:rPr>
        <w:t>≥</w:t>
      </w:r>
      <w:r w:rsidRPr="00113004">
        <w:rPr>
          <w:rFonts w:ascii="Arial" w:hAnsi="Arial" w:cs="Arial"/>
          <w:color w:val="000000" w:themeColor="text1"/>
          <w:sz w:val="24"/>
          <w:szCs w:val="24"/>
        </w:rPr>
        <w:t>27[women] for Q5.</w:t>
      </w:r>
    </w:p>
    <w:p w14:paraId="3C490DED" w14:textId="77777777" w:rsidR="00A72178" w:rsidRPr="002E2887" w:rsidRDefault="00A72178">
      <w:bookmarkStart w:id="0" w:name="_GoBack"/>
      <w:bookmarkEnd w:id="0"/>
    </w:p>
    <w:sectPr w:rsidR="00A72178" w:rsidRPr="002E2887" w:rsidSect="002E28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E32326" w14:textId="77777777" w:rsidR="00F95E20" w:rsidRDefault="00F95E20" w:rsidP="002E2887">
      <w:r>
        <w:separator/>
      </w:r>
    </w:p>
  </w:endnote>
  <w:endnote w:type="continuationSeparator" w:id="0">
    <w:p w14:paraId="3BC0107A" w14:textId="77777777" w:rsidR="00F95E20" w:rsidRDefault="00F95E20" w:rsidP="002E2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36A3C0" w14:textId="77777777" w:rsidR="00F95E20" w:rsidRDefault="00F95E20" w:rsidP="002E2887">
      <w:r>
        <w:separator/>
      </w:r>
    </w:p>
  </w:footnote>
  <w:footnote w:type="continuationSeparator" w:id="0">
    <w:p w14:paraId="275EAFF5" w14:textId="77777777" w:rsidR="00F95E20" w:rsidRDefault="00F95E20" w:rsidP="002E2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178"/>
    <w:rsid w:val="002E2887"/>
    <w:rsid w:val="00A72178"/>
    <w:rsid w:val="00F9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320A6D-9C52-4771-9A10-444C03A1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28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2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28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2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2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515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 黎霞</dc:creator>
  <cp:keywords/>
  <dc:description/>
  <cp:lastModifiedBy>宗 黎霞</cp:lastModifiedBy>
  <cp:revision>2</cp:revision>
  <dcterms:created xsi:type="dcterms:W3CDTF">2020-03-15T03:28:00Z</dcterms:created>
  <dcterms:modified xsi:type="dcterms:W3CDTF">2020-03-15T03:28:00Z</dcterms:modified>
</cp:coreProperties>
</file>